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bookmarkStart w:id="0" w:name="_GoBack"/>
      <w:r>
        <w:rPr>
          <w:rFonts w:hint="eastAsia"/>
          <w:b/>
          <w:bCs/>
          <w:sz w:val="36"/>
          <w:szCs w:val="44"/>
          <w:lang w:eastAsia="zh-CN"/>
        </w:rPr>
        <w:t>推荐参评“</w:t>
      </w:r>
      <w:r>
        <w:rPr>
          <w:rFonts w:hint="eastAsia"/>
          <w:b/>
          <w:bCs/>
          <w:sz w:val="36"/>
          <w:szCs w:val="44"/>
          <w:lang w:val="en-US" w:eastAsia="zh-CN"/>
        </w:rPr>
        <w:t>2020湖南省高校辅导员年度人物</w:t>
      </w:r>
      <w:r>
        <w:rPr>
          <w:rFonts w:hint="eastAsia"/>
          <w:b/>
          <w:bCs/>
          <w:sz w:val="36"/>
          <w:szCs w:val="44"/>
          <w:lang w:eastAsia="zh-CN"/>
        </w:rPr>
        <w:t>”人选</w:t>
      </w:r>
    </w:p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事迹简介</w:t>
      </w:r>
    </w:p>
    <w:bookmarkEnd w:id="0"/>
    <w:p>
      <w:pPr>
        <w:jc w:val="center"/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sz w:val="24"/>
          <w:szCs w:val="24"/>
          <w:lang w:val="en-US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4763135</wp:posOffset>
            </wp:positionH>
            <wp:positionV relativeFrom="paragraph">
              <wp:posOffset>188595</wp:posOffset>
            </wp:positionV>
            <wp:extent cx="854075" cy="1174115"/>
            <wp:effectExtent l="0" t="0" r="3175" b="698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4075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2"/>
        <w:tblW w:w="9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2190"/>
        <w:gridCol w:w="1282"/>
        <w:gridCol w:w="692"/>
        <w:gridCol w:w="822"/>
        <w:gridCol w:w="1470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543" w:type="dxa"/>
            <w:vAlign w:val="center"/>
          </w:tcPr>
          <w:p>
            <w:pPr>
              <w:pStyle w:val="4"/>
              <w:spacing w:befor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2190" w:type="dxa"/>
            <w:vAlign w:val="center"/>
          </w:tcPr>
          <w:p>
            <w:pPr>
              <w:pStyle w:val="4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杨雄</w:t>
            </w:r>
          </w:p>
        </w:tc>
        <w:tc>
          <w:tcPr>
            <w:tcW w:w="1282" w:type="dxa"/>
            <w:vAlign w:val="center"/>
          </w:tcPr>
          <w:p>
            <w:pPr>
              <w:pStyle w:val="4"/>
              <w:spacing w:before="4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692" w:type="dxa"/>
            <w:vAlign w:val="center"/>
          </w:tcPr>
          <w:p>
            <w:pPr>
              <w:pStyle w:val="4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男</w:t>
            </w:r>
          </w:p>
        </w:tc>
        <w:tc>
          <w:tcPr>
            <w:tcW w:w="822" w:type="dxa"/>
            <w:vAlign w:val="center"/>
          </w:tcPr>
          <w:p>
            <w:pPr>
              <w:pStyle w:val="4"/>
              <w:spacing w:before="4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470" w:type="dxa"/>
            <w:vAlign w:val="center"/>
          </w:tcPr>
          <w:p>
            <w:pPr>
              <w:pStyle w:val="4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汉族</w:t>
            </w:r>
          </w:p>
        </w:tc>
        <w:tc>
          <w:tcPr>
            <w:tcW w:w="1817" w:type="dxa"/>
            <w:vMerge w:val="restart"/>
            <w:vAlign w:val="center"/>
          </w:tcPr>
          <w:p>
            <w:pPr>
              <w:pStyle w:val="4"/>
              <w:ind w:left="773" w:right="752"/>
              <w:jc w:val="center"/>
              <w:rPr>
                <w:sz w:val="24"/>
                <w:szCs w:val="24"/>
              </w:rPr>
            </w:pPr>
          </w:p>
          <w:p>
            <w:pPr>
              <w:pStyle w:val="4"/>
              <w:ind w:left="773" w:right="752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1543" w:type="dxa"/>
            <w:vAlign w:val="center"/>
          </w:tcPr>
          <w:p>
            <w:pPr>
              <w:pStyle w:val="4"/>
              <w:spacing w:before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2190" w:type="dxa"/>
            <w:vAlign w:val="center"/>
          </w:tcPr>
          <w:p>
            <w:pPr>
              <w:pStyle w:val="4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1990年4月</w:t>
            </w:r>
          </w:p>
        </w:tc>
        <w:tc>
          <w:tcPr>
            <w:tcW w:w="1282" w:type="dxa"/>
            <w:vAlign w:val="center"/>
          </w:tcPr>
          <w:p>
            <w:pPr>
              <w:pStyle w:val="4"/>
              <w:spacing w:before="5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pStyle w:val="4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湖南农业大学</w:t>
            </w:r>
          </w:p>
        </w:tc>
        <w:tc>
          <w:tcPr>
            <w:tcW w:w="1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1543" w:type="dxa"/>
            <w:vAlign w:val="center"/>
          </w:tcPr>
          <w:p>
            <w:pPr>
              <w:pStyle w:val="4"/>
              <w:spacing w:before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院系</w:t>
            </w:r>
          </w:p>
        </w:tc>
        <w:tc>
          <w:tcPr>
            <w:tcW w:w="2190" w:type="dxa"/>
            <w:vAlign w:val="center"/>
          </w:tcPr>
          <w:p>
            <w:pPr>
              <w:pStyle w:val="4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动物科学技术学院</w:t>
            </w:r>
          </w:p>
        </w:tc>
        <w:tc>
          <w:tcPr>
            <w:tcW w:w="1282" w:type="dxa"/>
            <w:vAlign w:val="center"/>
          </w:tcPr>
          <w:p>
            <w:pPr>
              <w:pStyle w:val="4"/>
              <w:spacing w:before="5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pStyle w:val="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辅导员</w:t>
            </w:r>
          </w:p>
        </w:tc>
        <w:tc>
          <w:tcPr>
            <w:tcW w:w="1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543" w:type="dxa"/>
            <w:vAlign w:val="center"/>
          </w:tcPr>
          <w:p>
            <w:pPr>
              <w:pStyle w:val="4"/>
              <w:spacing w:before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</w:p>
        </w:tc>
        <w:tc>
          <w:tcPr>
            <w:tcW w:w="2190" w:type="dxa"/>
            <w:vAlign w:val="center"/>
          </w:tcPr>
          <w:p>
            <w:pPr>
              <w:pStyle w:val="4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讲师</w:t>
            </w:r>
          </w:p>
        </w:tc>
        <w:tc>
          <w:tcPr>
            <w:tcW w:w="1282" w:type="dxa"/>
            <w:vAlign w:val="center"/>
          </w:tcPr>
          <w:p>
            <w:pPr>
              <w:pStyle w:val="4"/>
              <w:spacing w:before="4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岗位性质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pStyle w:val="4"/>
              <w:spacing w:before="4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52"/>
            </w:r>
            <w:r>
              <w:rPr>
                <w:rFonts w:hint="eastAsia"/>
                <w:sz w:val="24"/>
                <w:szCs w:val="24"/>
              </w:rPr>
              <w:t>专职</w:t>
            </w:r>
          </w:p>
        </w:tc>
        <w:tc>
          <w:tcPr>
            <w:tcW w:w="1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1543" w:type="dxa"/>
            <w:vAlign w:val="center"/>
          </w:tcPr>
          <w:p>
            <w:pPr>
              <w:pStyle w:val="4"/>
              <w:spacing w:before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2190" w:type="dxa"/>
            <w:vAlign w:val="center"/>
          </w:tcPr>
          <w:p>
            <w:pPr>
              <w:pStyle w:val="4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中共党员</w:t>
            </w:r>
          </w:p>
        </w:tc>
        <w:tc>
          <w:tcPr>
            <w:tcW w:w="1282" w:type="dxa"/>
            <w:vAlign w:val="center"/>
          </w:tcPr>
          <w:p>
            <w:pPr>
              <w:pStyle w:val="4"/>
              <w:spacing w:before="5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pStyle w:val="4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研究生</w:t>
            </w:r>
          </w:p>
        </w:tc>
        <w:tc>
          <w:tcPr>
            <w:tcW w:w="1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543" w:type="dxa"/>
            <w:vAlign w:val="center"/>
          </w:tcPr>
          <w:p>
            <w:pPr>
              <w:pStyle w:val="4"/>
              <w:spacing w:before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学位</w:t>
            </w:r>
          </w:p>
        </w:tc>
        <w:tc>
          <w:tcPr>
            <w:tcW w:w="3472" w:type="dxa"/>
            <w:gridSpan w:val="2"/>
            <w:vAlign w:val="center"/>
          </w:tcPr>
          <w:p>
            <w:pPr>
              <w:pStyle w:val="4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硕士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pStyle w:val="4"/>
              <w:spacing w:before="4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目前是否在辅导员岗位</w:t>
            </w:r>
          </w:p>
        </w:tc>
        <w:tc>
          <w:tcPr>
            <w:tcW w:w="1817" w:type="dxa"/>
            <w:vAlign w:val="center"/>
          </w:tcPr>
          <w:p>
            <w:pPr>
              <w:pStyle w:val="4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连续担任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辅导员时间</w:t>
            </w:r>
          </w:p>
        </w:tc>
        <w:tc>
          <w:tcPr>
            <w:tcW w:w="347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2013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至今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目前所带学生人数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4" w:hRule="atLeast"/>
          <w:jc w:val="center"/>
        </w:trPr>
        <w:tc>
          <w:tcPr>
            <w:tcW w:w="1543" w:type="dxa"/>
            <w:vAlign w:val="center"/>
          </w:tcPr>
          <w:p>
            <w:pPr>
              <w:pStyle w:val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事迹</w:t>
            </w:r>
            <w:r>
              <w:rPr>
                <w:rFonts w:hint="eastAsia"/>
                <w:sz w:val="24"/>
                <w:szCs w:val="24"/>
              </w:rPr>
              <w:t>简介</w:t>
            </w:r>
          </w:p>
          <w:p>
            <w:pPr>
              <w:pStyle w:val="4"/>
              <w:spacing w:before="4"/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8273" w:type="dxa"/>
            <w:gridSpan w:val="6"/>
            <w:vAlign w:val="center"/>
          </w:tcPr>
          <w:p>
            <w:pPr>
              <w:pStyle w:val="4"/>
              <w:spacing w:line="360" w:lineRule="auto"/>
              <w:ind w:firstLine="480" w:firstLineChars="200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pStyle w:val="4"/>
              <w:spacing w:line="360" w:lineRule="auto"/>
              <w:ind w:firstLine="480" w:firstLineChars="2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杨雄，男，讲师，中共党员，硕士研究生学历，国家三级心理咨询师，2013年起担任动物科学技术学院辅导员，</w:t>
            </w:r>
            <w:r>
              <w:rPr>
                <w:rFonts w:hint="eastAsia"/>
                <w:sz w:val="24"/>
                <w:szCs w:val="24"/>
                <w:lang w:val="en-US"/>
              </w:rPr>
              <w:t>获</w:t>
            </w:r>
            <w:r>
              <w:rPr>
                <w:rFonts w:hint="eastAsia"/>
                <w:sz w:val="24"/>
                <w:szCs w:val="24"/>
              </w:rPr>
              <w:t>湖南省第八届辅导员素质能力大赛决赛二等奖。</w:t>
            </w:r>
          </w:p>
          <w:p>
            <w:pPr>
              <w:pStyle w:val="4"/>
              <w:spacing w:line="360" w:lineRule="auto"/>
              <w:ind w:firstLine="482" w:firstLineChars="20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七余载</w:t>
            </w:r>
            <w:r>
              <w:rPr>
                <w:rFonts w:hint="eastAsia"/>
                <w:b/>
                <w:bCs/>
                <w:sz w:val="24"/>
                <w:szCs w:val="24"/>
              </w:rPr>
              <w:t>求索，强化思想引领，做新时代“学农为农”的“引路人”。</w:t>
            </w:r>
          </w:p>
          <w:p>
            <w:pPr>
              <w:autoSpaceDE/>
              <w:autoSpaceDN/>
              <w:spacing w:line="360" w:lineRule="auto"/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杨雄同志坚持召开毕业生座谈会，与企业对接、调研，了解行业所需，强化思想引领，将“学农为农”的指导思想慢慢浸润进学生的内心。建立了《校企联动构建学生就业能力培养体系》，通过校企联动企业班、奖学金和学生活动冠名以及到企业社会实践等形式，既帮助了学生树立正确的就业观、择业观，同时也为行业留住了人才。</w:t>
            </w:r>
          </w:p>
          <w:p>
            <w:pPr>
              <w:pStyle w:val="4"/>
              <w:spacing w:line="360" w:lineRule="auto"/>
              <w:ind w:firstLine="480" w:firstLineChars="2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经过多年的坚持，学生专业思想得到明显的稳固，就业转行率已经下降了26%，培养了一批又一批的“三农”工作队伍。</w:t>
            </w:r>
          </w:p>
          <w:p>
            <w:pPr>
              <w:pStyle w:val="4"/>
              <w:spacing w:line="360" w:lineRule="auto"/>
              <w:ind w:firstLine="482" w:firstLineChars="200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七余载传承，聚焦考研深造，做新时代“知农爱农”的“奋进者”。</w:t>
            </w:r>
          </w:p>
          <w:p>
            <w:pPr>
              <w:pStyle w:val="4"/>
              <w:spacing w:line="360" w:lineRule="auto"/>
              <w:ind w:firstLine="480" w:firstLineChars="200"/>
              <w:jc w:val="both"/>
              <w:rPr>
                <w:rFonts w:hint="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通过多年的持续正向发力，</w:t>
            </w:r>
            <w:r>
              <w:rPr>
                <w:rFonts w:hint="eastAsia"/>
                <w:sz w:val="24"/>
                <w:szCs w:val="24"/>
              </w:rPr>
              <w:t>学院</w:t>
            </w:r>
            <w:r>
              <w:rPr>
                <w:rFonts w:hint="eastAsia"/>
                <w:sz w:val="24"/>
                <w:szCs w:val="24"/>
                <w:lang w:val="en-US"/>
              </w:rPr>
              <w:t>近</w:t>
            </w:r>
            <w:r>
              <w:rPr>
                <w:rFonts w:hint="eastAsia"/>
                <w:sz w:val="24"/>
                <w:szCs w:val="24"/>
              </w:rPr>
              <w:t>三年研究生报考率超过90%，考研录取率达到4</w:t>
            </w:r>
            <w:r>
              <w:rPr>
                <w:rFonts w:hint="eastAsia"/>
                <w:sz w:val="24"/>
                <w:szCs w:val="24"/>
                <w:lang w:val="en-US"/>
              </w:rPr>
              <w:t>5</w:t>
            </w:r>
            <w:r>
              <w:rPr>
                <w:rFonts w:hint="eastAsia"/>
                <w:sz w:val="24"/>
                <w:szCs w:val="24"/>
              </w:rPr>
              <w:t>%以上，</w:t>
            </w:r>
            <w:r>
              <w:rPr>
                <w:rFonts w:hint="eastAsia"/>
                <w:sz w:val="24"/>
                <w:szCs w:val="24"/>
                <w:lang w:val="en-US"/>
              </w:rPr>
              <w:t>学院的考研录取率从2014年的23.97%，逐年稳步提升，2020届毕业生考研录取率更是达到了历史新高的56.88%，全校排名第一，学院就业率连续八年稳居全校第一。</w:t>
            </w:r>
            <w:r>
              <w:rPr>
                <w:rFonts w:hint="eastAsia"/>
                <w:sz w:val="24"/>
                <w:szCs w:val="24"/>
              </w:rPr>
              <w:t>许多学生顺利考取了包括浙江大学、中国农业大学、中国海洋大学、中国农业科学院、华中农业大学、西北农林科技大学等“985”“211”高校的研究生。多人出国深造，其中1人被国家公派出国留学美国伊利诺伊大学厄巴纳香槟分校</w:t>
            </w:r>
            <w:r>
              <w:rPr>
                <w:rFonts w:hint="eastAsia"/>
                <w:sz w:val="24"/>
                <w:szCs w:val="24"/>
                <w:lang w:val="en-US"/>
              </w:rPr>
              <w:t>进行硕博连读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pStyle w:val="4"/>
              <w:spacing w:line="360" w:lineRule="auto"/>
              <w:ind w:firstLine="482" w:firstLineChars="200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七余载</w:t>
            </w:r>
            <w:r>
              <w:rPr>
                <w:rFonts w:hint="eastAsia"/>
                <w:b/>
                <w:bCs/>
                <w:sz w:val="24"/>
                <w:szCs w:val="24"/>
              </w:rPr>
              <w:t>专注，潜心创新创业，做新时代“强农兴农”的“排头兵”。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杨雄同志依托学院“通识教育+专业教育+创新创业教育”的多元化、多维度、个性化的人才培养体系，以专业为抓手，以成果为载体，以比赛为平台，积极探索并实践了“创新创业意识启蒙与知识传授——创新创业思维训练与精神养成——创新创业能力培养与成果孵化”等“三步法”创新创业人才培养新模式，着力培养适应和引领未来的高素质动物科学专业创新创业型人才。</w:t>
            </w:r>
          </w:p>
          <w:p>
            <w:pPr>
              <w:pStyle w:val="4"/>
              <w:spacing w:line="360" w:lineRule="auto"/>
              <w:ind w:firstLine="480" w:firstLineChars="20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经过多年的努力，学院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大学生创新精神、创业意识和创新创业能力得到稳步提升，取得了丰硕成果，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学生多次获得国家级和省部级奖励。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工作简历</w:t>
            </w:r>
          </w:p>
        </w:tc>
        <w:tc>
          <w:tcPr>
            <w:tcW w:w="8273" w:type="dxa"/>
            <w:gridSpan w:val="6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年6月</w:t>
            </w:r>
            <w:r>
              <w:rPr>
                <w:rFonts w:hint="eastAsia" w:ascii="Arial Unicode MS" w:hAnsi="Arial Unicode MS" w:eastAsia="Arial Unicode MS" w:cs="Arial Unicode MS"/>
                <w:sz w:val="24"/>
                <w:szCs w:val="24"/>
              </w:rPr>
              <w:t>——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至今，在湖南农业大学动物科学技术学院担任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专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职辅导员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本人获得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省级以上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荣誉奖励</w:t>
            </w:r>
          </w:p>
        </w:tc>
        <w:tc>
          <w:tcPr>
            <w:tcW w:w="8273" w:type="dxa"/>
            <w:gridSpan w:val="6"/>
            <w:vAlign w:val="center"/>
          </w:tcPr>
          <w:p>
            <w:pPr>
              <w:pStyle w:val="4"/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1、2020年</w:t>
            </w:r>
            <w:r>
              <w:rPr>
                <w:rFonts w:hint="eastAsia"/>
                <w:sz w:val="24"/>
                <w:szCs w:val="24"/>
              </w:rPr>
              <w:t>湖南省第八届辅导员素质能力大赛决赛二等奖</w:t>
            </w:r>
          </w:p>
          <w:p>
            <w:pPr>
              <w:pStyle w:val="4"/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2、2020年</w:t>
            </w:r>
            <w:r>
              <w:rPr>
                <w:rFonts w:hint="eastAsia"/>
                <w:sz w:val="24"/>
                <w:szCs w:val="24"/>
              </w:rPr>
              <w:t>湖南省第八届辅导员素质能力大赛</w:t>
            </w:r>
            <w:r>
              <w:rPr>
                <w:rFonts w:hint="eastAsia"/>
                <w:sz w:val="24"/>
                <w:szCs w:val="24"/>
                <w:lang w:val="en-US"/>
              </w:rPr>
              <w:t>复赛  优秀</w:t>
            </w:r>
            <w:r>
              <w:rPr>
                <w:rFonts w:hint="eastAsia"/>
                <w:sz w:val="24"/>
                <w:szCs w:val="24"/>
              </w:rPr>
              <w:t>奖</w:t>
            </w:r>
          </w:p>
          <w:p>
            <w:pPr>
              <w:pStyle w:val="4"/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3、2020年</w:t>
            </w:r>
            <w:r>
              <w:rPr>
                <w:rFonts w:hint="eastAsia"/>
                <w:sz w:val="24"/>
                <w:szCs w:val="24"/>
              </w:rPr>
              <w:t>湖南省高校党组织“对标争先”建设计划</w:t>
            </w:r>
            <w:r>
              <w:rPr>
                <w:rFonts w:hint="eastAsia"/>
                <w:sz w:val="24"/>
                <w:szCs w:val="24"/>
                <w:lang w:val="en-US"/>
              </w:rPr>
              <w:t>青年教工党员示范岗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所带班级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及学生获得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校级以上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荣誉奖励</w:t>
            </w:r>
          </w:p>
        </w:tc>
        <w:tc>
          <w:tcPr>
            <w:tcW w:w="8273" w:type="dxa"/>
            <w:gridSpan w:val="6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1、第三届全国大学生动物科学专业技能大赛一等奖；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、第一届全国大学生水产技能大赛一等奖；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、第四届全国大学生生命科学创新创业大赛一等奖；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4、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第五届中国“互联网+”大学生创新创业大赛银奖；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5、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第六届中国国际“互联网+”大学生创新创业大赛铜奖；</w:t>
            </w:r>
          </w:p>
        </w:tc>
      </w:tr>
    </w:tbl>
    <w:p>
      <w:pPr>
        <w:jc w:val="left"/>
        <w:rPr>
          <w:rFonts w:hint="eastAsia"/>
          <w:b/>
          <w:bCs/>
          <w:sz w:val="32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F6FE5"/>
    <w:rsid w:val="029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2021-03-30T08:39:00Z</dcterms:created>
  <dc:creator>马文秀</dc:creator>
  <cp:lastModifiedBy>马文秀</cp:lastModifiedBy>
  <dcterms:modified xsi:type="dcterms:W3CDTF">2021-03-30T08:45:25Z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