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54" w:rsidRDefault="00655F54" w:rsidP="00EE604A">
      <w:pPr>
        <w:widowControl/>
        <w:ind w:left="3896" w:hangingChars="1617" w:hanging="3896"/>
        <w:jc w:val="left"/>
        <w:rPr>
          <w:b/>
          <w:sz w:val="24"/>
        </w:rPr>
      </w:pPr>
    </w:p>
    <w:p w:rsidR="00D37A9D" w:rsidRPr="00EE604A" w:rsidRDefault="00D03873" w:rsidP="00EC6633">
      <w:pPr>
        <w:widowControl/>
        <w:ind w:left="3396" w:hangingChars="1617" w:hanging="3396"/>
        <w:jc w:val="left"/>
        <w:rPr>
          <w:rFonts w:ascii="仿宋_GB2312" w:eastAsia="仿宋_GB2312" w:hAnsi="仿宋_GB2312" w:cs="仿宋_GB2312"/>
          <w:b/>
          <w:kern w:val="0"/>
          <w:sz w:val="36"/>
          <w:szCs w:val="30"/>
        </w:rPr>
      </w:pPr>
      <w:hyperlink r:id="rId6" w:history="1">
        <w:r w:rsidR="00D37A9D" w:rsidRPr="00EE604A">
          <w:rPr>
            <w:rFonts w:ascii="仿宋_GB2312" w:eastAsia="仿宋_GB2312" w:hAnsi="仿宋_GB2312" w:cs="仿宋_GB2312" w:hint="eastAsia"/>
            <w:b/>
            <w:kern w:val="0"/>
            <w:sz w:val="36"/>
            <w:szCs w:val="30"/>
          </w:rPr>
          <w:t>2020年“湖南乡村振兴战略研究院”智库研究项目选题</w:t>
        </w:r>
      </w:hyperlink>
      <w:r w:rsidR="00D37A9D" w:rsidRPr="00EE604A">
        <w:rPr>
          <w:rFonts w:ascii="仿宋_GB2312" w:eastAsia="仿宋_GB2312" w:hAnsi="仿宋_GB2312" w:cs="仿宋_GB2312" w:hint="eastAsia"/>
          <w:b/>
          <w:kern w:val="0"/>
          <w:sz w:val="36"/>
          <w:szCs w:val="30"/>
        </w:rPr>
        <w:t>方向</w:t>
      </w:r>
    </w:p>
    <w:p w:rsidR="00F90083" w:rsidRDefault="00F90083" w:rsidP="007362DD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</w:p>
    <w:p w:rsidR="00EE604A" w:rsidRPr="007362DD" w:rsidRDefault="007362DD" w:rsidP="007362DD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1</w:t>
      </w:r>
      <w:r w:rsidRPr="00EE604A">
        <w:rPr>
          <w:rFonts w:ascii="仿宋" w:eastAsia="仿宋" w:hAnsi="仿宋" w:cs="仿宋_GB2312" w:hint="eastAsia"/>
          <w:kern w:val="0"/>
          <w:sz w:val="36"/>
          <w:szCs w:val="30"/>
        </w:rPr>
        <w:t>、完善乡村监督体系，提高乡村治理水平</w:t>
      </w:r>
    </w:p>
    <w:p w:rsidR="00D37A9D" w:rsidRPr="00EE604A" w:rsidRDefault="007362D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2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、山东省现代农业发展的经验及其对湖南的启示</w:t>
      </w:r>
    </w:p>
    <w:p w:rsidR="00D37A9D" w:rsidRPr="00EE604A" w:rsidRDefault="007362D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3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、河南省农产品加工业发展及其对湖南的启示</w:t>
      </w:r>
    </w:p>
    <w:p w:rsidR="00D37A9D" w:rsidRPr="00EE604A" w:rsidRDefault="007362D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4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、湖南</w:t>
      </w:r>
      <w:r w:rsidR="005734BB">
        <w:rPr>
          <w:rFonts w:ascii="仿宋" w:eastAsia="仿宋" w:hAnsi="仿宋" w:cs="仿宋_GB2312" w:hint="eastAsia"/>
          <w:kern w:val="0"/>
          <w:sz w:val="36"/>
          <w:szCs w:val="30"/>
        </w:rPr>
        <w:t>省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现代农机智能装备“千亿产业”目标的实现研究</w:t>
      </w:r>
    </w:p>
    <w:p w:rsidR="00D37A9D" w:rsidRPr="00EE604A" w:rsidRDefault="007362D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5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、湖南</w:t>
      </w:r>
      <w:r w:rsidR="005734BB">
        <w:rPr>
          <w:rFonts w:ascii="仿宋" w:eastAsia="仿宋" w:hAnsi="仿宋" w:cs="仿宋_GB2312" w:hint="eastAsia"/>
          <w:kern w:val="0"/>
          <w:sz w:val="36"/>
          <w:szCs w:val="30"/>
        </w:rPr>
        <w:t>省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智慧农业推进农业数字化发展</w:t>
      </w:r>
      <w:r w:rsidR="00655F54">
        <w:rPr>
          <w:rFonts w:ascii="仿宋" w:eastAsia="仿宋" w:hAnsi="仿宋" w:cs="仿宋_GB2312" w:hint="eastAsia"/>
          <w:kern w:val="0"/>
          <w:sz w:val="36"/>
          <w:szCs w:val="30"/>
        </w:rPr>
        <w:t>研究</w:t>
      </w:r>
    </w:p>
    <w:p w:rsidR="00D37A9D" w:rsidRPr="00EE604A" w:rsidRDefault="00D37A9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 w:rsidRPr="00EE604A">
        <w:rPr>
          <w:rFonts w:ascii="仿宋" w:eastAsia="仿宋" w:hAnsi="仿宋" w:cs="仿宋_GB2312" w:hint="eastAsia"/>
          <w:kern w:val="0"/>
          <w:sz w:val="36"/>
          <w:szCs w:val="30"/>
        </w:rPr>
        <w:t>6、生猪生产的“保供稳价”研究</w:t>
      </w:r>
    </w:p>
    <w:p w:rsidR="00D37A9D" w:rsidRPr="00EE604A" w:rsidRDefault="00D37A9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 w:rsidRPr="00EE604A">
        <w:rPr>
          <w:rFonts w:ascii="仿宋" w:eastAsia="仿宋" w:hAnsi="仿宋" w:cs="仿宋_GB2312" w:hint="eastAsia"/>
          <w:kern w:val="0"/>
          <w:sz w:val="36"/>
          <w:szCs w:val="30"/>
        </w:rPr>
        <w:t>7、环洞庭湖区农村水环境高质量发展的技术体系构建</w:t>
      </w:r>
    </w:p>
    <w:p w:rsidR="00D37A9D" w:rsidRPr="00EE604A" w:rsidRDefault="00D37A9D" w:rsidP="008F7608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 w:rsidRPr="00EE604A">
        <w:rPr>
          <w:rFonts w:ascii="仿宋" w:eastAsia="仿宋" w:hAnsi="仿宋" w:cs="仿宋_GB2312" w:hint="eastAsia"/>
          <w:kern w:val="0"/>
          <w:sz w:val="36"/>
          <w:szCs w:val="30"/>
        </w:rPr>
        <w:t>8、对非农业投资和</w:t>
      </w:r>
      <w:r w:rsidR="00655F54">
        <w:rPr>
          <w:rFonts w:ascii="仿宋" w:eastAsia="仿宋" w:hAnsi="仿宋" w:cs="仿宋_GB2312" w:hint="eastAsia"/>
          <w:kern w:val="0"/>
          <w:sz w:val="36"/>
          <w:szCs w:val="30"/>
        </w:rPr>
        <w:t>经贸</w:t>
      </w:r>
      <w:r w:rsidRPr="00EE604A">
        <w:rPr>
          <w:rFonts w:ascii="仿宋" w:eastAsia="仿宋" w:hAnsi="仿宋" w:cs="仿宋_GB2312" w:hint="eastAsia"/>
          <w:kern w:val="0"/>
          <w:sz w:val="36"/>
          <w:szCs w:val="30"/>
        </w:rPr>
        <w:t>合作的风险及挑战</w:t>
      </w:r>
    </w:p>
    <w:p w:rsidR="00D37A9D" w:rsidRPr="00EE604A" w:rsidRDefault="00132766" w:rsidP="008F7608">
      <w:pPr>
        <w:widowControl/>
        <w:spacing w:line="680" w:lineRule="exact"/>
        <w:ind w:firstLineChars="100" w:firstLine="360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9</w:t>
      </w:r>
      <w:r w:rsidR="00D37A9D" w:rsidRPr="00EE604A">
        <w:rPr>
          <w:rFonts w:ascii="仿宋" w:eastAsia="仿宋" w:hAnsi="仿宋" w:cs="仿宋_GB2312" w:hint="eastAsia"/>
          <w:kern w:val="0"/>
          <w:sz w:val="36"/>
          <w:szCs w:val="30"/>
        </w:rPr>
        <w:t>、农民教育助推乡村振兴战略</w:t>
      </w:r>
      <w:r w:rsidR="000B1B22">
        <w:rPr>
          <w:rFonts w:ascii="仿宋" w:eastAsia="仿宋" w:hAnsi="仿宋" w:cs="仿宋_GB2312" w:hint="eastAsia"/>
          <w:kern w:val="0"/>
          <w:sz w:val="36"/>
          <w:szCs w:val="30"/>
        </w:rPr>
        <w:t>研究</w:t>
      </w:r>
    </w:p>
    <w:p w:rsidR="00EC6633" w:rsidRDefault="00132766" w:rsidP="00EC6633">
      <w:pPr>
        <w:widowControl/>
        <w:spacing w:line="680" w:lineRule="exact"/>
        <w:ind w:firstLineChars="98" w:firstLine="353"/>
        <w:jc w:val="left"/>
        <w:rPr>
          <w:rFonts w:ascii="仿宋" w:eastAsia="仿宋" w:hAnsi="仿宋" w:cs="仿宋_GB2312"/>
          <w:kern w:val="0"/>
          <w:sz w:val="36"/>
          <w:szCs w:val="30"/>
        </w:rPr>
      </w:pPr>
      <w:r>
        <w:rPr>
          <w:rFonts w:ascii="仿宋" w:eastAsia="仿宋" w:hAnsi="仿宋" w:cs="仿宋_GB2312" w:hint="eastAsia"/>
          <w:kern w:val="0"/>
          <w:sz w:val="36"/>
          <w:szCs w:val="30"/>
        </w:rPr>
        <w:t>10</w:t>
      </w:r>
      <w:r w:rsidR="00EC6633">
        <w:rPr>
          <w:rFonts w:ascii="仿宋" w:eastAsia="仿宋" w:hAnsi="仿宋" w:cs="仿宋_GB2312" w:hint="eastAsia"/>
          <w:kern w:val="0"/>
          <w:sz w:val="36"/>
          <w:szCs w:val="30"/>
        </w:rPr>
        <w:t>、乡村振兴战略下农村体育发展研究</w:t>
      </w:r>
    </w:p>
    <w:p w:rsidR="00EE604A" w:rsidRPr="00EE604A" w:rsidRDefault="00EE604A" w:rsidP="008F7608">
      <w:pPr>
        <w:spacing w:line="680" w:lineRule="exact"/>
        <w:rPr>
          <w:rFonts w:ascii="仿宋" w:eastAsia="仿宋" w:hAnsi="仿宋"/>
          <w:sz w:val="24"/>
        </w:rPr>
      </w:pPr>
    </w:p>
    <w:sectPr w:rsidR="00EE604A" w:rsidRPr="00EE604A" w:rsidSect="00457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40C" w:rsidRDefault="0059340C" w:rsidP="00D37A9D">
      <w:r>
        <w:separator/>
      </w:r>
    </w:p>
  </w:endnote>
  <w:endnote w:type="continuationSeparator" w:id="1">
    <w:p w:rsidR="0059340C" w:rsidRDefault="0059340C" w:rsidP="00D37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40C" w:rsidRDefault="0059340C" w:rsidP="00D37A9D">
      <w:r>
        <w:separator/>
      </w:r>
    </w:p>
  </w:footnote>
  <w:footnote w:type="continuationSeparator" w:id="1">
    <w:p w:rsidR="0059340C" w:rsidRDefault="0059340C" w:rsidP="00D37A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7A9D"/>
    <w:rsid w:val="000B1B22"/>
    <w:rsid w:val="000C5FC1"/>
    <w:rsid w:val="00132766"/>
    <w:rsid w:val="00457C1D"/>
    <w:rsid w:val="004F147E"/>
    <w:rsid w:val="005734BB"/>
    <w:rsid w:val="0059340C"/>
    <w:rsid w:val="0063166D"/>
    <w:rsid w:val="00655F54"/>
    <w:rsid w:val="006E5194"/>
    <w:rsid w:val="007362DD"/>
    <w:rsid w:val="007966C7"/>
    <w:rsid w:val="007F157A"/>
    <w:rsid w:val="008F7608"/>
    <w:rsid w:val="00BF410A"/>
    <w:rsid w:val="00CF4085"/>
    <w:rsid w:val="00D03873"/>
    <w:rsid w:val="00D37A9D"/>
    <w:rsid w:val="00EC6633"/>
    <w:rsid w:val="00EE604A"/>
    <w:rsid w:val="00F9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A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A9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A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A9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nsk.gov.cn/upload/news/201711/20171115051820757438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19</cp:revision>
  <dcterms:created xsi:type="dcterms:W3CDTF">2019-12-13T09:41:00Z</dcterms:created>
  <dcterms:modified xsi:type="dcterms:W3CDTF">2019-12-16T01:40:00Z</dcterms:modified>
</cp:coreProperties>
</file>